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1FB1B" w14:textId="02428984" w:rsidR="00E305BA" w:rsidRPr="00E305BA" w:rsidRDefault="00E305BA" w:rsidP="00E305BA">
      <w:pPr>
        <w:widowControl w:val="0"/>
        <w:autoSpaceDE w:val="0"/>
        <w:autoSpaceDN w:val="0"/>
        <w:spacing w:after="0" w:line="240" w:lineRule="auto"/>
        <w:ind w:left="1021" w:hanging="360"/>
        <w:jc w:val="center"/>
        <w:rPr>
          <w:rFonts w:ascii="Times New Roman" w:hAnsi="Times New Roman" w:cs="Times New Roman"/>
          <w:b/>
          <w:bCs/>
        </w:rPr>
      </w:pPr>
      <w:r w:rsidRPr="00E305BA">
        <w:rPr>
          <w:rFonts w:ascii="Times New Roman" w:hAnsi="Times New Roman" w:cs="Times New Roman"/>
          <w:b/>
          <w:bCs/>
        </w:rPr>
        <w:t xml:space="preserve">Вопросы </w:t>
      </w:r>
      <w:r>
        <w:rPr>
          <w:rFonts w:ascii="Times New Roman" w:hAnsi="Times New Roman" w:cs="Times New Roman"/>
          <w:b/>
          <w:bCs/>
        </w:rPr>
        <w:t>к государственному экзамену</w:t>
      </w:r>
    </w:p>
    <w:p w14:paraId="13A5EDA5" w14:textId="49DAFDBC" w:rsidR="00E305BA" w:rsidRPr="00E305BA" w:rsidRDefault="00E305BA" w:rsidP="00E305BA">
      <w:pPr>
        <w:widowControl w:val="0"/>
        <w:autoSpaceDE w:val="0"/>
        <w:autoSpaceDN w:val="0"/>
        <w:spacing w:after="0" w:line="240" w:lineRule="auto"/>
        <w:ind w:left="1021" w:hanging="360"/>
        <w:jc w:val="center"/>
        <w:rPr>
          <w:rFonts w:ascii="Times New Roman" w:hAnsi="Times New Roman" w:cs="Times New Roman"/>
          <w:b/>
          <w:bCs/>
        </w:rPr>
      </w:pPr>
      <w:r w:rsidRPr="00E305BA">
        <w:rPr>
          <w:rFonts w:ascii="Times New Roman" w:hAnsi="Times New Roman" w:cs="Times New Roman"/>
          <w:b/>
          <w:bCs/>
        </w:rPr>
        <w:t>профиль «Интернет-коммуникации в рекламе и связях с общественностью»</w:t>
      </w:r>
    </w:p>
    <w:p w14:paraId="0A5CA249" w14:textId="5EDB06EF" w:rsidR="00E305BA" w:rsidRPr="00E305BA" w:rsidRDefault="00E305BA" w:rsidP="00E305BA">
      <w:pPr>
        <w:widowControl w:val="0"/>
        <w:autoSpaceDE w:val="0"/>
        <w:autoSpaceDN w:val="0"/>
        <w:spacing w:after="0" w:line="240" w:lineRule="auto"/>
        <w:ind w:left="1021" w:hanging="360"/>
        <w:jc w:val="center"/>
        <w:rPr>
          <w:rFonts w:ascii="Times New Roman" w:hAnsi="Times New Roman" w:cs="Times New Roman"/>
          <w:b/>
          <w:bCs/>
        </w:rPr>
      </w:pPr>
      <w:r w:rsidRPr="00E305BA">
        <w:rPr>
          <w:rFonts w:ascii="Times New Roman" w:hAnsi="Times New Roman" w:cs="Times New Roman"/>
          <w:b/>
          <w:bCs/>
        </w:rPr>
        <w:t>(2022-2023):</w:t>
      </w:r>
    </w:p>
    <w:p w14:paraId="5B449ACE" w14:textId="77777777" w:rsidR="00E305BA" w:rsidRDefault="00E305BA" w:rsidP="00E305BA">
      <w:pPr>
        <w:widowControl w:val="0"/>
        <w:autoSpaceDE w:val="0"/>
        <w:autoSpaceDN w:val="0"/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</w:rPr>
      </w:pPr>
    </w:p>
    <w:p w14:paraId="043FFEC3" w14:textId="1ECA8B09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Цели PR-кампании в интернет-среде: определение инструментария, подбор площадок.</w:t>
      </w:r>
    </w:p>
    <w:p w14:paraId="261D1E76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Проведение опроса. Поиски формы и метода опроса.</w:t>
      </w:r>
    </w:p>
    <w:p w14:paraId="4626615E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Эффективность опроса - эффективность оценки результатов рекламной кампании.</w:t>
      </w:r>
    </w:p>
    <w:p w14:paraId="49723E72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Создание сообщества лояльных потребителей.</w:t>
      </w:r>
    </w:p>
    <w:p w14:paraId="3ED27973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Привлечение целевого трафика на сайт.</w:t>
      </w:r>
    </w:p>
    <w:p w14:paraId="2B8A090B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Научные исследования потребительского поведения.</w:t>
      </w:r>
    </w:p>
    <w:p w14:paraId="6989C3C9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Сегментирование рынка и позиционирование товара: демографическое, поведенческое.</w:t>
      </w:r>
    </w:p>
    <w:p w14:paraId="6528D939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рекламных и маркетинговых исследований в интернете.</w:t>
      </w:r>
    </w:p>
    <w:p w14:paraId="6B224C6D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Технологии оценки рекламы и PR в социальных медиа.</w:t>
      </w:r>
    </w:p>
    <w:p w14:paraId="1DDAE0F2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Обработка и подготовка данных для анализа. Программы для визуализации данных.</w:t>
      </w:r>
    </w:p>
    <w:p w14:paraId="70F45464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Преимущества рекламы в социальных сетях: таргетинг (страна, город, пол, возраст, интересы).</w:t>
      </w:r>
    </w:p>
    <w:p w14:paraId="68566E2C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Формат рекламы в современных интернет-коммуникациях.</w:t>
      </w:r>
    </w:p>
    <w:p w14:paraId="56CD72E9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Результаты SMO продвижения в социальных сетях.</w:t>
      </w:r>
    </w:p>
    <w:p w14:paraId="22BE4830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PR в социальных сетях как метод вывода нового бренда или продукта.</w:t>
      </w:r>
    </w:p>
    <w:p w14:paraId="78E4105B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Методы оценки эффективности интернет-сайта.</w:t>
      </w:r>
    </w:p>
    <w:p w14:paraId="605478BB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Основные направления маркетинговых исследований в интернет-рекламе и PR.</w:t>
      </w:r>
    </w:p>
    <w:p w14:paraId="23A87993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05BA">
        <w:rPr>
          <w:rFonts w:ascii="Times New Roman" w:eastAsia="Times New Roman" w:hAnsi="Times New Roman" w:cs="Times New Roman"/>
          <w:sz w:val="24"/>
          <w:szCs w:val="24"/>
        </w:rPr>
        <w:t>Междисциплинарность</w:t>
      </w:r>
      <w:proofErr w:type="spellEnd"/>
      <w:r w:rsidRPr="00E305BA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в сфере рекламы и связей с общественностью.</w:t>
      </w:r>
    </w:p>
    <w:p w14:paraId="114CB580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Проблематика объекта и предмета исследования в сфере интернет-рекламы и связей с                          общественностью.</w:t>
      </w:r>
    </w:p>
    <w:p w14:paraId="46DBB2B6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Коммуникационная</w:t>
      </w:r>
      <w:r w:rsidRPr="00E305BA">
        <w:rPr>
          <w:rFonts w:ascii="Times New Roman" w:eastAsia="Times New Roman" w:hAnsi="Times New Roman" w:cs="Times New Roman"/>
          <w:sz w:val="24"/>
          <w:szCs w:val="24"/>
        </w:rPr>
        <w:tab/>
        <w:t>деятельность</w:t>
      </w:r>
      <w:r w:rsidRPr="00E305BA">
        <w:rPr>
          <w:rFonts w:ascii="Times New Roman" w:eastAsia="Times New Roman" w:hAnsi="Times New Roman" w:cs="Times New Roman"/>
          <w:sz w:val="24"/>
          <w:szCs w:val="24"/>
        </w:rPr>
        <w:tab/>
        <w:t>как</w:t>
      </w:r>
      <w:r w:rsidRPr="00E305BA">
        <w:rPr>
          <w:rFonts w:ascii="Times New Roman" w:eastAsia="Times New Roman" w:hAnsi="Times New Roman" w:cs="Times New Roman"/>
          <w:sz w:val="24"/>
          <w:szCs w:val="24"/>
        </w:rPr>
        <w:tab/>
        <w:t>универсальная</w:t>
      </w:r>
      <w:r w:rsidRPr="00E305BA">
        <w:rPr>
          <w:rFonts w:ascii="Times New Roman" w:eastAsia="Times New Roman" w:hAnsi="Times New Roman" w:cs="Times New Roman"/>
          <w:sz w:val="24"/>
          <w:szCs w:val="24"/>
        </w:rPr>
        <w:tab/>
        <w:t>категория</w:t>
      </w:r>
      <w:r w:rsidRPr="00E305BA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E305BA">
        <w:rPr>
          <w:rFonts w:ascii="Times New Roman" w:eastAsia="Times New Roman" w:hAnsi="Times New Roman" w:cs="Times New Roman"/>
          <w:sz w:val="24"/>
          <w:szCs w:val="24"/>
        </w:rPr>
        <w:tab/>
        <w:t>объект исследования: подходы, методы, базовые источники.</w:t>
      </w:r>
    </w:p>
    <w:p w14:paraId="7563C755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E305BA">
        <w:rPr>
          <w:rFonts w:ascii="Times New Roman" w:eastAsia="Times New Roman" w:hAnsi="Times New Roman" w:cs="Times New Roman"/>
          <w:sz w:val="24"/>
          <w:szCs w:val="24"/>
        </w:rPr>
        <w:tab/>
        <w:t>рекламы</w:t>
      </w:r>
      <w:r w:rsidRPr="00E305BA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E305BA">
        <w:rPr>
          <w:rFonts w:ascii="Times New Roman" w:eastAsia="Times New Roman" w:hAnsi="Times New Roman" w:cs="Times New Roman"/>
          <w:sz w:val="24"/>
          <w:szCs w:val="24"/>
        </w:rPr>
        <w:tab/>
        <w:t>связей</w:t>
      </w:r>
      <w:r w:rsidRPr="00E305BA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E305BA">
        <w:rPr>
          <w:rFonts w:ascii="Times New Roman" w:eastAsia="Times New Roman" w:hAnsi="Times New Roman" w:cs="Times New Roman"/>
          <w:sz w:val="24"/>
          <w:szCs w:val="24"/>
        </w:rPr>
        <w:tab/>
        <w:t>общественностью</w:t>
      </w:r>
      <w:r w:rsidRPr="00E305BA">
        <w:rPr>
          <w:rFonts w:ascii="Times New Roman" w:eastAsia="Times New Roman" w:hAnsi="Times New Roman" w:cs="Times New Roman"/>
          <w:sz w:val="24"/>
          <w:szCs w:val="24"/>
        </w:rPr>
        <w:tab/>
        <w:t>как</w:t>
      </w:r>
      <w:r w:rsidRPr="00E305BA">
        <w:rPr>
          <w:rFonts w:ascii="Times New Roman" w:eastAsia="Times New Roman" w:hAnsi="Times New Roman" w:cs="Times New Roman"/>
          <w:sz w:val="24"/>
          <w:szCs w:val="24"/>
        </w:rPr>
        <w:tab/>
        <w:t>универсальное</w:t>
      </w:r>
      <w:r w:rsidRPr="00E305BA">
        <w:rPr>
          <w:rFonts w:ascii="Times New Roman" w:eastAsia="Times New Roman" w:hAnsi="Times New Roman" w:cs="Times New Roman"/>
          <w:sz w:val="24"/>
          <w:szCs w:val="24"/>
        </w:rPr>
        <w:tab/>
        <w:t>и междисциплинарное понятие. Подходы к типизации, структура.</w:t>
      </w:r>
    </w:p>
    <w:p w14:paraId="0FE2F235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Управление интернет-коммуникациями в сфере культуры.</w:t>
      </w:r>
    </w:p>
    <w:p w14:paraId="10728524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Управление интернет-коммуникациями в сфере образования.</w:t>
      </w:r>
    </w:p>
    <w:p w14:paraId="146A7E2A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Управление интернет-коммуникациями в сфере науки.</w:t>
      </w:r>
    </w:p>
    <w:p w14:paraId="5476BAB1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Управление интернет-коммуникациями в сфере ритейла.</w:t>
      </w:r>
    </w:p>
    <w:p w14:paraId="69E5034C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Управление интернет-коммуникациями в сфере FMCG.</w:t>
      </w:r>
    </w:p>
    <w:p w14:paraId="11BC6323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 xml:space="preserve">Управление интернет-коммуникациями сфере </w:t>
      </w:r>
      <w:proofErr w:type="gramStart"/>
      <w:r w:rsidRPr="00E305BA">
        <w:rPr>
          <w:rFonts w:ascii="Times New Roman" w:eastAsia="Times New Roman" w:hAnsi="Times New Roman" w:cs="Times New Roman"/>
          <w:sz w:val="24"/>
          <w:szCs w:val="24"/>
        </w:rPr>
        <w:t>товаров  премиум</w:t>
      </w:r>
      <w:proofErr w:type="gramEnd"/>
      <w:r w:rsidRPr="00E305BA">
        <w:rPr>
          <w:rFonts w:ascii="Times New Roman" w:eastAsia="Times New Roman" w:hAnsi="Times New Roman" w:cs="Times New Roman"/>
          <w:sz w:val="24"/>
          <w:szCs w:val="24"/>
        </w:rPr>
        <w:t>-класса (</w:t>
      </w:r>
      <w:proofErr w:type="spellStart"/>
      <w:r w:rsidRPr="00E305BA">
        <w:rPr>
          <w:rFonts w:ascii="Times New Roman" w:eastAsia="Times New Roman" w:hAnsi="Times New Roman" w:cs="Times New Roman"/>
          <w:sz w:val="24"/>
          <w:szCs w:val="24"/>
        </w:rPr>
        <w:t>luxury</w:t>
      </w:r>
      <w:proofErr w:type="spellEnd"/>
      <w:r w:rsidRPr="00E305BA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333F81B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E305BA">
        <w:rPr>
          <w:rFonts w:ascii="Times New Roman" w:eastAsia="Times New Roman" w:hAnsi="Times New Roman" w:cs="Times New Roman"/>
          <w:sz w:val="24"/>
          <w:szCs w:val="24"/>
        </w:rPr>
        <w:tab/>
        <w:t>интернет-коммуникациями</w:t>
      </w:r>
      <w:r w:rsidRPr="00E305BA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E305BA">
        <w:rPr>
          <w:rFonts w:ascii="Times New Roman" w:eastAsia="Times New Roman" w:hAnsi="Times New Roman" w:cs="Times New Roman"/>
          <w:sz w:val="24"/>
          <w:szCs w:val="24"/>
        </w:rPr>
        <w:tab/>
        <w:t>сфере строительства.</w:t>
      </w:r>
    </w:p>
    <w:p w14:paraId="7BC1D4BC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Управление интернет-коммуникациями в сфере финансов.</w:t>
      </w:r>
    </w:p>
    <w:p w14:paraId="560B2197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Управление интернет-коммуникациями в сфере масс-медиа.</w:t>
      </w:r>
    </w:p>
    <w:p w14:paraId="041480FD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E305BA">
        <w:rPr>
          <w:rFonts w:ascii="Times New Roman" w:eastAsia="Times New Roman" w:hAnsi="Times New Roman" w:cs="Times New Roman"/>
          <w:sz w:val="24"/>
          <w:szCs w:val="24"/>
        </w:rPr>
        <w:tab/>
        <w:t>интернет-коммуникациями</w:t>
      </w:r>
      <w:r w:rsidRPr="00E305BA">
        <w:rPr>
          <w:rFonts w:ascii="Times New Roman" w:eastAsia="Times New Roman" w:hAnsi="Times New Roman" w:cs="Times New Roman"/>
          <w:sz w:val="24"/>
          <w:szCs w:val="24"/>
        </w:rPr>
        <w:tab/>
        <w:t>в телекоммуникационной сфере.</w:t>
      </w:r>
    </w:p>
    <w:p w14:paraId="21A5294D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Управление интернет-коммуникациями в сфере услуг.</w:t>
      </w:r>
    </w:p>
    <w:p w14:paraId="582E3C13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E305BA">
        <w:rPr>
          <w:rFonts w:ascii="Times New Roman" w:eastAsia="Times New Roman" w:hAnsi="Times New Roman" w:cs="Times New Roman"/>
          <w:sz w:val="24"/>
          <w:szCs w:val="24"/>
        </w:rPr>
        <w:tab/>
        <w:t>интернет-коммуникациями</w:t>
      </w:r>
      <w:r w:rsidRPr="00E305BA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E305B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305BA">
        <w:rPr>
          <w:rFonts w:ascii="Times New Roman" w:eastAsia="Times New Roman" w:hAnsi="Times New Roman" w:cs="Times New Roman"/>
          <w:sz w:val="24"/>
          <w:szCs w:val="24"/>
        </w:rPr>
        <w:t>сфере  общественного</w:t>
      </w:r>
      <w:proofErr w:type="gramEnd"/>
      <w:r w:rsidRPr="00E305BA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</w:p>
    <w:p w14:paraId="00C37B39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Основы управления коммуникационными проектами сфере рекламы и связях с общественностью.</w:t>
      </w:r>
    </w:p>
    <w:p w14:paraId="665AF6C6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Предмет управления коммуникационными проектами в сфере рекламы и связях с общественностью. Место и роль PR-кампаний в структуре PR, как специализированная функция управления коммуникационными проектами.</w:t>
      </w:r>
    </w:p>
    <w:p w14:paraId="4AB9E531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lastRenderedPageBreak/>
        <w:t>Сущность категории «управление проектами». Основные и общие элементы</w:t>
      </w:r>
    </w:p>
    <w:p w14:paraId="589A773E" w14:textId="77777777" w:rsidR="00E305BA" w:rsidRPr="00E305BA" w:rsidRDefault="00E305BA" w:rsidP="00E305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проекта.</w:t>
      </w:r>
    </w:p>
    <w:p w14:paraId="38DD7BB0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Группы и характеристика процессов управления.</w:t>
      </w:r>
    </w:p>
    <w:p w14:paraId="23DED393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Функции управления проектом и их учет в рекламной деятельности.</w:t>
      </w:r>
    </w:p>
    <w:p w14:paraId="36677091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Коммуникационные проекты в сфере В2В, В2С, BTL. Медийные, Интернет и                                        событийные проекты.</w:t>
      </w:r>
    </w:p>
    <w:p w14:paraId="39562D10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Основы управления и процесс управления коммуникациями в проекте в рамках управления проектами по стандарту PMBOK.</w:t>
      </w:r>
    </w:p>
    <w:p w14:paraId="3A0B961B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Основные потребители информации проекта. Взаимодействие в рамках проекта               в соответствии с функциональными обязанностями персонала команды проекта.</w:t>
      </w:r>
    </w:p>
    <w:p w14:paraId="698A54BC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План коммуникаций - составная часть плана проекта.</w:t>
      </w:r>
    </w:p>
    <w:p w14:paraId="7AE1A2B6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Управление системами сбора и распределения информации.</w:t>
      </w:r>
    </w:p>
    <w:p w14:paraId="3D2C07F8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Автоматизированные и неавтоматизированные методы сбора, обработки и передачи информации.</w:t>
      </w:r>
    </w:p>
    <w:p w14:paraId="5D3A85A4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Управление организационной и корпоративной культурой в контексте рекламы и связей с общественностью.</w:t>
      </w:r>
    </w:p>
    <w:p w14:paraId="2925C889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Организационные и технологические инновации в сфере рекламы и связей с общественностью</w:t>
      </w:r>
    </w:p>
    <w:p w14:paraId="298AEF16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Модели развития компаний</w:t>
      </w:r>
      <w:r w:rsidRPr="00E305BA">
        <w:rPr>
          <w:rFonts w:ascii="Times New Roman" w:eastAsia="Times New Roman" w:hAnsi="Times New Roman" w:cs="Times New Roman"/>
          <w:sz w:val="24"/>
          <w:szCs w:val="24"/>
        </w:rPr>
        <w:tab/>
        <w:t>и коммуникационные задачи на разных этапах (</w:t>
      </w:r>
      <w:proofErr w:type="gramStart"/>
      <w:r w:rsidRPr="00E305BA">
        <w:rPr>
          <w:rFonts w:ascii="Times New Roman" w:eastAsia="Times New Roman" w:hAnsi="Times New Roman" w:cs="Times New Roman"/>
          <w:sz w:val="24"/>
          <w:szCs w:val="24"/>
        </w:rPr>
        <w:t>этапы  жизненного</w:t>
      </w:r>
      <w:proofErr w:type="gramEnd"/>
      <w:r w:rsidRPr="00E305BA">
        <w:rPr>
          <w:rFonts w:ascii="Times New Roman" w:eastAsia="Times New Roman" w:hAnsi="Times New Roman" w:cs="Times New Roman"/>
          <w:sz w:val="24"/>
          <w:szCs w:val="24"/>
        </w:rPr>
        <w:t xml:space="preserve"> цикла товара, Мюллера, </w:t>
      </w:r>
      <w:proofErr w:type="spellStart"/>
      <w:r w:rsidRPr="00E305BA">
        <w:rPr>
          <w:rFonts w:ascii="Times New Roman" w:eastAsia="Times New Roman" w:hAnsi="Times New Roman" w:cs="Times New Roman"/>
          <w:sz w:val="24"/>
          <w:szCs w:val="24"/>
        </w:rPr>
        <w:t>Гейнера</w:t>
      </w:r>
      <w:proofErr w:type="spellEnd"/>
      <w:r w:rsidRPr="00E305BA">
        <w:rPr>
          <w:rFonts w:ascii="Times New Roman" w:eastAsia="Times New Roman" w:hAnsi="Times New Roman" w:cs="Times New Roman"/>
          <w:sz w:val="24"/>
          <w:szCs w:val="24"/>
        </w:rPr>
        <w:t xml:space="preserve"> и т.д.).</w:t>
      </w:r>
    </w:p>
    <w:p w14:paraId="5202E520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Кризисы в рыночной экономике, антикризисные коммуникации.</w:t>
      </w:r>
    </w:p>
    <w:p w14:paraId="541CD710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Подходы к типологии и классификации организационных культур, место и роль      внутренних корпоративных коммуникаций.</w:t>
      </w:r>
    </w:p>
    <w:p w14:paraId="717363DD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Общественное мнение как объект исследования: методы и подходы.</w:t>
      </w:r>
    </w:p>
    <w:p w14:paraId="72CB1A6E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Изменения структуры, форм и содержания коммуникаций в интернет-среде в контексте рекламы и связей с общественностью.</w:t>
      </w:r>
    </w:p>
    <w:p w14:paraId="74C1E59E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 xml:space="preserve">Технологии интеграции </w:t>
      </w:r>
      <w:proofErr w:type="spellStart"/>
      <w:r w:rsidRPr="00E305BA"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 w:rsidRPr="00E305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05BA">
        <w:rPr>
          <w:rFonts w:ascii="Times New Roman" w:eastAsia="Times New Roman" w:hAnsi="Times New Roman" w:cs="Times New Roman"/>
          <w:sz w:val="24"/>
          <w:szCs w:val="24"/>
        </w:rPr>
        <w:t>off-line</w:t>
      </w:r>
      <w:proofErr w:type="spellEnd"/>
      <w:r w:rsidRPr="00E305BA">
        <w:rPr>
          <w:rFonts w:ascii="Times New Roman" w:eastAsia="Times New Roman" w:hAnsi="Times New Roman" w:cs="Times New Roman"/>
          <w:sz w:val="24"/>
          <w:szCs w:val="24"/>
        </w:rPr>
        <w:t xml:space="preserve"> в коммуникационных продуктах и коммуникационных практиках</w:t>
      </w:r>
    </w:p>
    <w:p w14:paraId="4D92E1BF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Сущность SMM и его роль в маркетинговой стратегии компании.</w:t>
      </w:r>
    </w:p>
    <w:p w14:paraId="16EB4643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Особенности лидирующих социальных платформ и тенденции развития.</w:t>
      </w:r>
    </w:p>
    <w:p w14:paraId="5AF34511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Сегментация и сбор целевой аудитории.</w:t>
      </w:r>
    </w:p>
    <w:p w14:paraId="41AD7704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Инструменты и методы анализа эффективности таргетированной рекламы.</w:t>
      </w:r>
    </w:p>
    <w:p w14:paraId="36BBA620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 xml:space="preserve">Специфика тематических и корпоративных сообществ в социальных сетях. </w:t>
      </w:r>
    </w:p>
    <w:p w14:paraId="57E0F303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Анализ аудитории сообщества в социальных сетях.</w:t>
      </w:r>
    </w:p>
    <w:p w14:paraId="6BD7AEAD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 xml:space="preserve">Оценка привлекательности тематических площадок для </w:t>
      </w:r>
      <w:proofErr w:type="spellStart"/>
      <w:r w:rsidRPr="00E305BA">
        <w:rPr>
          <w:rFonts w:ascii="Times New Roman" w:eastAsia="Times New Roman" w:hAnsi="Times New Roman" w:cs="Times New Roman"/>
          <w:sz w:val="24"/>
          <w:szCs w:val="24"/>
        </w:rPr>
        <w:t>промопоста</w:t>
      </w:r>
      <w:proofErr w:type="spellEnd"/>
      <w:r w:rsidRPr="00E305B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5514F7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Механика ведения корпоративного сообщества в социальной сети, продвижение                   постов и партнерство с другими сообществами.</w:t>
      </w:r>
    </w:p>
    <w:p w14:paraId="771213C8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>Основы копирайтинга и оформления рекламных постов.</w:t>
      </w:r>
    </w:p>
    <w:p w14:paraId="0B8DC783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05BA">
        <w:rPr>
          <w:rFonts w:ascii="Times New Roman" w:eastAsia="Times New Roman" w:hAnsi="Times New Roman" w:cs="Times New Roman"/>
          <w:sz w:val="24"/>
          <w:szCs w:val="24"/>
        </w:rPr>
        <w:t>Медиапланирование</w:t>
      </w:r>
      <w:proofErr w:type="spellEnd"/>
      <w:r w:rsidRPr="00E305BA">
        <w:rPr>
          <w:rFonts w:ascii="Times New Roman" w:eastAsia="Times New Roman" w:hAnsi="Times New Roman" w:cs="Times New Roman"/>
          <w:sz w:val="24"/>
          <w:szCs w:val="24"/>
        </w:rPr>
        <w:t xml:space="preserve"> и бюджетирование рекламных кампаний в социальных сетях. Механика сбора целевой аудитории в социальных сетях в целях </w:t>
      </w:r>
      <w:proofErr w:type="spellStart"/>
      <w:r w:rsidRPr="00E305BA">
        <w:rPr>
          <w:rFonts w:ascii="Times New Roman" w:eastAsia="Times New Roman" w:hAnsi="Times New Roman" w:cs="Times New Roman"/>
          <w:sz w:val="24"/>
          <w:szCs w:val="24"/>
        </w:rPr>
        <w:t>медиапланирования</w:t>
      </w:r>
      <w:proofErr w:type="spellEnd"/>
      <w:r w:rsidRPr="00E305B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2B96C6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инструменты аналитики рекламных кампаний и ключевые </w:t>
      </w:r>
      <w:proofErr w:type="gramStart"/>
      <w:r w:rsidRPr="00E305BA">
        <w:rPr>
          <w:rFonts w:ascii="Times New Roman" w:eastAsia="Times New Roman" w:hAnsi="Times New Roman" w:cs="Times New Roman"/>
          <w:sz w:val="24"/>
          <w:szCs w:val="24"/>
        </w:rPr>
        <w:t>показатели  анализа</w:t>
      </w:r>
      <w:proofErr w:type="gramEnd"/>
      <w:r w:rsidRPr="00E305B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440DE2" w14:textId="77777777" w:rsidR="00E305BA" w:rsidRPr="00E305BA" w:rsidRDefault="00E305BA" w:rsidP="00E305B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5BA">
        <w:rPr>
          <w:rFonts w:ascii="Times New Roman" w:eastAsia="Times New Roman" w:hAnsi="Times New Roman" w:cs="Times New Roman"/>
          <w:sz w:val="24"/>
          <w:szCs w:val="24"/>
        </w:rPr>
        <w:t xml:space="preserve">Значение ключевых слов </w:t>
      </w:r>
      <w:proofErr w:type="gramStart"/>
      <w:r w:rsidRPr="00E305BA">
        <w:rPr>
          <w:rFonts w:ascii="Times New Roman" w:eastAsia="Times New Roman" w:hAnsi="Times New Roman" w:cs="Times New Roman"/>
          <w:sz w:val="24"/>
          <w:szCs w:val="24"/>
        </w:rPr>
        <w:t>в  системе</w:t>
      </w:r>
      <w:proofErr w:type="gramEnd"/>
      <w:r w:rsidRPr="00E30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5BA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r w:rsidRPr="00E305BA">
        <w:rPr>
          <w:rFonts w:ascii="Times New Roman" w:eastAsia="Times New Roman" w:hAnsi="Times New Roman" w:cs="Times New Roman"/>
          <w:sz w:val="24"/>
          <w:szCs w:val="24"/>
        </w:rPr>
        <w:t xml:space="preserve">. Применение </w:t>
      </w:r>
      <w:r w:rsidRPr="00E305BA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r w:rsidRPr="00E30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5BA">
        <w:rPr>
          <w:rFonts w:ascii="Times New Roman" w:eastAsia="Times New Roman" w:hAnsi="Times New Roman" w:cs="Times New Roman"/>
          <w:sz w:val="24"/>
          <w:szCs w:val="24"/>
          <w:lang w:val="en-US"/>
        </w:rPr>
        <w:t>Wordstat</w:t>
      </w:r>
      <w:proofErr w:type="spellEnd"/>
      <w:r w:rsidRPr="00E305B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B07C5E" w14:textId="77777777" w:rsidR="00CA4CF2" w:rsidRDefault="00CA4CF2"/>
    <w:sectPr w:rsidR="00CA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471F5"/>
    <w:multiLevelType w:val="hybridMultilevel"/>
    <w:tmpl w:val="FFFFFFFF"/>
    <w:lvl w:ilvl="0" w:tplc="402057CC">
      <w:start w:val="1"/>
      <w:numFmt w:val="decimal"/>
      <w:lvlText w:val="%1."/>
      <w:lvlJc w:val="left"/>
      <w:pPr>
        <w:ind w:left="10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1388350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271A7306"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3D30E6C2">
      <w:numFmt w:val="bullet"/>
      <w:lvlText w:val="•"/>
      <w:lvlJc w:val="left"/>
      <w:pPr>
        <w:ind w:left="3697" w:hanging="360"/>
      </w:pPr>
      <w:rPr>
        <w:rFonts w:hint="default"/>
      </w:rPr>
    </w:lvl>
    <w:lvl w:ilvl="4" w:tplc="56A0BCB4">
      <w:numFmt w:val="bullet"/>
      <w:lvlText w:val="•"/>
      <w:lvlJc w:val="left"/>
      <w:pPr>
        <w:ind w:left="4589" w:hanging="360"/>
      </w:pPr>
      <w:rPr>
        <w:rFonts w:hint="default"/>
      </w:rPr>
    </w:lvl>
    <w:lvl w:ilvl="5" w:tplc="DE064A52"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A8D203F4">
      <w:numFmt w:val="bullet"/>
      <w:lvlText w:val="•"/>
      <w:lvlJc w:val="left"/>
      <w:pPr>
        <w:ind w:left="6374" w:hanging="360"/>
      </w:pPr>
      <w:rPr>
        <w:rFonts w:hint="default"/>
      </w:rPr>
    </w:lvl>
    <w:lvl w:ilvl="7" w:tplc="1B9ED24A">
      <w:numFmt w:val="bullet"/>
      <w:lvlText w:val="•"/>
      <w:lvlJc w:val="left"/>
      <w:pPr>
        <w:ind w:left="7267" w:hanging="360"/>
      </w:pPr>
      <w:rPr>
        <w:rFonts w:hint="default"/>
      </w:rPr>
    </w:lvl>
    <w:lvl w:ilvl="8" w:tplc="E4D44250">
      <w:numFmt w:val="bullet"/>
      <w:lvlText w:val="•"/>
      <w:lvlJc w:val="left"/>
      <w:pPr>
        <w:ind w:left="815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BA"/>
    <w:rsid w:val="00CA4CF2"/>
    <w:rsid w:val="00E3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1F85"/>
  <w15:chartTrackingRefBased/>
  <w15:docId w15:val="{D3731C2D-25AC-421F-A17E-A933964D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Гуриева</dc:creator>
  <cp:keywords/>
  <dc:description/>
  <cp:lastModifiedBy>Мадина Гуриева</cp:lastModifiedBy>
  <cp:revision>1</cp:revision>
  <dcterms:created xsi:type="dcterms:W3CDTF">2022-09-30T17:14:00Z</dcterms:created>
  <dcterms:modified xsi:type="dcterms:W3CDTF">2022-09-30T17:15:00Z</dcterms:modified>
</cp:coreProperties>
</file>